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60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7325994</wp:posOffset>
                </wp:positionH>
                <wp:positionV relativeFrom="page">
                  <wp:posOffset>466204</wp:posOffset>
                </wp:positionV>
                <wp:extent cx="234315" cy="13760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4315" cy="137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76045">
                              <a:moveTo>
                                <a:pt x="0" y="1375918"/>
                              </a:moveTo>
                              <a:lnTo>
                                <a:pt x="234010" y="1375918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375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4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6.709015pt;width:18.426001pt;height:108.34pt;mso-position-horizontal-relative:page;mso-position-vertical-relative:page;z-index:15729664" id="docshape1" filled="true" fillcolor="#ffe455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379804</wp:posOffset>
            </wp:positionH>
            <wp:positionV relativeFrom="paragraph">
              <wp:posOffset>-2462</wp:posOffset>
            </wp:positionV>
            <wp:extent cx="363664" cy="48157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789048</wp:posOffset>
                </wp:positionV>
                <wp:extent cx="127000" cy="69850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69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EW-PP-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4"/>
                                <w:sz w:val="16"/>
                              </w:rPr>
                              <w:t>FLEX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62.129814pt;width:10pt;height:55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EW-PP-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4"/>
                          <w:sz w:val="16"/>
                        </w:rPr>
                        <w:t>FLEX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60"/>
        <w:rPr>
          <w:b w:val="0"/>
        </w:rPr>
      </w:pPr>
      <w:r>
        <w:rPr>
          <w:b w:val="0"/>
          <w:color w:val="005BA7"/>
        </w:rPr>
        <w:t>EW-PP-</w:t>
      </w:r>
      <w:r>
        <w:rPr>
          <w:b w:val="0"/>
          <w:color w:val="005BA7"/>
          <w:spacing w:val="-4"/>
        </w:rPr>
        <w:t>FLEX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CE-zertifizierte, einwandige, überdruckdichte Abgasleitung. Rohr bestehend aus 1,0 mm (bis Ø 80 mm) bzw.</w:t>
      </w:r>
      <w:r>
        <w:rPr>
          <w:b w:val="0"/>
          <w:color w:val="231F20"/>
          <w:spacing w:val="68"/>
        </w:rPr>
        <w:t> </w:t>
      </w:r>
      <w:r>
        <w:rPr>
          <w:b w:val="0"/>
          <w:color w:val="231F20"/>
        </w:rPr>
        <w:t>1,2 mm (ab Ø 100 </w:t>
      </w:r>
      <w:r>
        <w:rPr>
          <w:b w:val="0"/>
          <w:color w:val="231F20"/>
        </w:rPr>
        <w:t>mm)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starkem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Kunststoff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(Polypropylen)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einschließlich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innenliegender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EPDM-Lippendichtungen.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Ringspalt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zwischen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Innenrohr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und Schacht kann auch für die Zuluftführung genutzt werden. Der Wärmedurchlasswiderstand des Systems beträgt 0 m²K/W. Innendurchmesserbereich von 60 - 160 mm.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Verbindung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Elemente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Steckmuffen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(60mm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Stecktiefe).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Einwandige,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flexible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Kunststoffabgasanlage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zum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Einbau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bestehende Schächte die den Brandschutzanforderungen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30/L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 entsprechen.</w:t>
      </w: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157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11" w:right="184"/>
        <w:jc w:val="both"/>
        <w:rPr>
          <w:b w:val="0"/>
        </w:rPr>
      </w:pPr>
      <w:r>
        <w:rPr>
          <w:b w:val="0"/>
          <w:color w:val="231F20"/>
        </w:rPr>
        <w:t>Systemabgasanlagen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Betriebsweise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bis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max.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120°C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Unter-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Überdruck/Hochdruck.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werksseitiges Einlegen der Dichtringe in eine dafür eingearbeitete Sicke ist das System überdruckdicht.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Maximal zulässiger Überdruck: bis zu 5000 </w:t>
      </w:r>
      <w:r>
        <w:rPr>
          <w:b w:val="0"/>
          <w:color w:val="231F20"/>
          <w:spacing w:val="-2"/>
        </w:rPr>
        <w:t>Pascal</w:t>
      </w:r>
    </w:p>
    <w:p>
      <w:pPr>
        <w:pStyle w:val="BodyText"/>
        <w:ind w:left="111" w:right="184"/>
        <w:jc w:val="both"/>
        <w:rPr>
          <w:b w:val="0"/>
        </w:rPr>
      </w:pPr>
      <w:r>
        <w:rPr>
          <w:b w:val="0"/>
          <w:color w:val="231F20"/>
        </w:rPr>
        <w:t>Die Kunststoffsysteme der Fa. Jeremias sind für den Anschluss von raumluftabhängigen oder raumluftunabhängigen Öl- und Gasbrennwertgeräten, BHKW’s oder gasbetriebenen Wärmepumpen geeignet, deren Abgase durch die Verbrennung von Gas </w:t>
      </w:r>
      <w:r>
        <w:rPr>
          <w:b w:val="0"/>
          <w:color w:val="231F20"/>
        </w:rPr>
        <w:t>oder Heizöl EL entstehen.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Das System EW-PP-FLEX kann in geeignete Schächte* im Gebäude eingebaut </w:t>
      </w:r>
      <w:r>
        <w:rPr>
          <w:b w:val="0"/>
          <w:color w:val="231F20"/>
          <w:spacing w:val="-2"/>
        </w:rPr>
        <w:t>werden.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*(Bei Einbau im Gebäude sind ggf. die Anforderungen an den Feuerwiderstand zu </w:t>
      </w:r>
      <w:r>
        <w:rPr>
          <w:b w:val="0"/>
          <w:color w:val="231F20"/>
          <w:spacing w:val="-2"/>
        </w:rPr>
        <w:t>beachten.)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CE-Zertifikatsnummer: 0036 CPR 9174 </w:t>
      </w:r>
      <w:r>
        <w:rPr>
          <w:b w:val="0"/>
          <w:color w:val="231F20"/>
          <w:spacing w:val="-5"/>
        </w:rPr>
        <w:t>043</w:t>
      </w:r>
    </w:p>
    <w:p>
      <w:pPr>
        <w:pStyle w:val="BodyText"/>
        <w:rPr>
          <w:b w:val="0"/>
        </w:rPr>
      </w:pP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0.4 Abgasanlage EW-PP-FLEX (feuchte Betriebsweise/ 120°C/ </w:t>
      </w:r>
      <w:r>
        <w:rPr>
          <w:b w:val="0"/>
          <w:color w:val="231F20"/>
          <w:spacing w:val="-2"/>
        </w:rPr>
        <w:t>Überdruck)</w:t>
      </w:r>
    </w:p>
    <w:p>
      <w:pPr>
        <w:pStyle w:val="BodyText"/>
        <w:spacing w:line="228" w:lineRule="auto" w:before="8"/>
        <w:ind w:left="111" w:right="4232"/>
        <w:rPr>
          <w:b w:val="0"/>
        </w:rPr>
      </w:pPr>
      <w:r>
        <w:rPr>
          <w:b w:val="0"/>
          <w:color w:val="231F20"/>
        </w:rPr>
        <w:t>EN 14471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T120-H1-W2-O00-LI-E-U0 Klassifizierung für Nennweiten DN60-</w:t>
      </w:r>
      <w:r>
        <w:rPr>
          <w:rFonts w:ascii="Symbol" w:hAnsi="Symbol"/>
          <w:color w:val="231F20"/>
        </w:rPr>
        <w:t></w:t>
      </w:r>
      <w:r>
        <w:rPr>
          <w:b w:val="0"/>
          <w:color w:val="231F20"/>
        </w:rPr>
        <w:t>DN110 EN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14471</w:t>
      </w:r>
      <w:r>
        <w:rPr>
          <w:b w:val="0"/>
          <w:color w:val="231F20"/>
          <w:spacing w:val="44"/>
        </w:rPr>
        <w:t> </w:t>
      </w:r>
      <w:r>
        <w:rPr>
          <w:b w:val="0"/>
          <w:color w:val="231F20"/>
        </w:rPr>
        <w:t>T120-P1-W2-O00-LI-E-U0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Klassifizierung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Nennweiten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&gt;DN110-</w:t>
      </w:r>
      <w:r>
        <w:rPr>
          <w:b w:val="0"/>
          <w:color w:val="231F20"/>
          <w:spacing w:val="-2"/>
        </w:rPr>
        <w:t>DN160</w:t>
      </w:r>
    </w:p>
    <w:p>
      <w:pPr>
        <w:pStyle w:val="BodyText"/>
        <w:spacing w:before="8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1" w:after="0"/>
        <w:ind w:left="354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tabs>
          <w:tab w:pos="1551" w:val="left" w:leader="none"/>
        </w:tabs>
        <w:ind w:left="1551" w:right="5396" w:hanging="1440"/>
        <w:rPr>
          <w:b w:val="0"/>
        </w:rPr>
      </w:pPr>
      <w:r>
        <w:rPr>
          <w:b w:val="0"/>
          <w:color w:val="231F20"/>
          <w:spacing w:val="-2"/>
        </w:rPr>
        <w:t>Innenrohr:</w:t>
      </w:r>
      <w:r>
        <w:rPr>
          <w:b w:val="0"/>
          <w:color w:val="231F20"/>
        </w:rPr>
        <w:tab/>
        <w:t>1,0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(bis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80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mm)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bzw.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1,2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(ab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Ø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mm) 2,0 mm starr (optional)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Ø 60 mm - 160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0" w:after="0"/>
        <w:ind w:left="349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11" w:right="236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 ist nach DIN EN 13384-1 zu bestimmen und vom ausführenden Fachunternehmen zu überprüfen.</w:t>
      </w:r>
    </w:p>
    <w:p>
      <w:pPr>
        <w:pStyle w:val="BodyText"/>
        <w:spacing w:before="4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</w:p>
    <w:p>
      <w:pPr>
        <w:spacing w:before="72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line="383" w:lineRule="exact" w:before="0"/>
        <w:ind w:left="957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4928">
                <wp:simplePos x="0" y="0"/>
                <wp:positionH relativeFrom="page">
                  <wp:posOffset>920493</wp:posOffset>
                </wp:positionH>
                <wp:positionV relativeFrom="paragraph">
                  <wp:posOffset>47340</wp:posOffset>
                </wp:positionV>
                <wp:extent cx="1359535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1359535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EW-PP-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4"/>
                                <w:sz w:val="32"/>
                              </w:rPr>
                              <w:t>FLEX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.479797pt;margin-top:3.7276pt;width:107.05pt;height:35.2pt;mso-position-horizontal-relative:page;mso-position-vertical-relative:paragraph;z-index:-15831552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EW-PP-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4"/>
                          <w:sz w:val="32"/>
                        </w:rPr>
                        <w:t>FLEX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57"/>
        <w:rPr>
          <w:b w:val="0"/>
        </w:rPr>
      </w:pPr>
      <w:r>
        <w:rPr>
          <w:b w:val="0"/>
          <w:color w:val="005AAA"/>
        </w:rPr>
        <w:t>EW-PP-</w:t>
      </w:r>
      <w:r>
        <w:rPr>
          <w:b w:val="0"/>
          <w:color w:val="005AAA"/>
          <w:spacing w:val="-4"/>
        </w:rPr>
        <w:t>FLEX</w:t>
      </w:r>
    </w:p>
    <w:p>
      <w:pPr>
        <w:pStyle w:val="BodyText"/>
        <w:spacing w:before="4"/>
        <w:rPr>
          <w:rFonts w:ascii="Gotham Book"/>
          <w:b w:val="0"/>
          <w:sz w:val="25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ind w:left="109" w:right="5396"/>
        <w:rPr>
          <w:b w:val="0"/>
        </w:rPr>
      </w:pPr>
      <w:r>
        <w:rPr>
          <w:b w:val="0"/>
          <w:color w:val="231F20"/>
        </w:rPr>
        <w:t>Einwandige,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flexible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druckdichte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Systemabgasleitung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aus </w:t>
      </w:r>
      <w:r>
        <w:rPr>
          <w:b w:val="0"/>
          <w:color w:val="231F20"/>
          <w:spacing w:val="-2"/>
        </w:rPr>
        <w:t>Kunststoff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PP = </w:t>
      </w:r>
      <w:r>
        <w:rPr>
          <w:b w:val="0"/>
          <w:color w:val="231F20"/>
          <w:spacing w:val="-2"/>
        </w:rPr>
        <w:t>Polypropylen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1,0 mm bis Ø 80 </w:t>
      </w:r>
      <w:r>
        <w:rPr>
          <w:b w:val="0"/>
          <w:color w:val="231F20"/>
          <w:spacing w:val="-5"/>
        </w:rPr>
        <w:t>mm,</w:t>
      </w:r>
    </w:p>
    <w:p>
      <w:pPr>
        <w:pStyle w:val="BodyText"/>
        <w:ind w:left="109" w:right="8517"/>
        <w:rPr>
          <w:b w:val="0"/>
        </w:rPr>
      </w:pPr>
      <w:r>
        <w:rPr>
          <w:b w:val="0"/>
          <w:color w:val="231F20"/>
        </w:rPr>
        <w:t>1,2 mm ab Ø 100 mm Optional: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2,0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starr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60 - 160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ind w:left="109" w:right="7008"/>
        <w:rPr>
          <w:b w:val="0"/>
        </w:rPr>
      </w:pPr>
      <w:r>
        <w:rPr>
          <w:b w:val="0"/>
          <w:color w:val="231F20"/>
        </w:rPr>
        <w:t>Steckverbindung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Muffe/Sicke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mit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innenliegender </w:t>
      </w:r>
      <w:r>
        <w:rPr>
          <w:b w:val="0"/>
          <w:color w:val="231F20"/>
          <w:spacing w:val="-2"/>
        </w:rPr>
        <w:t>EPDM-Lippendichtung</w:t>
      </w:r>
    </w:p>
    <w:p>
      <w:pPr>
        <w:pStyle w:val="Heading2"/>
        <w:spacing w:before="143"/>
        <w:rPr>
          <w:b w:val="0"/>
        </w:rPr>
      </w:pPr>
      <w:r>
        <w:rPr>
          <w:b w:val="0"/>
          <w:color w:val="005AAA"/>
          <w:spacing w:val="-2"/>
        </w:rPr>
        <w:t>DICHTUNG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Ist im Lieferumfang </w:t>
      </w:r>
      <w:r>
        <w:rPr>
          <w:b w:val="0"/>
          <w:color w:val="231F20"/>
          <w:spacing w:val="-2"/>
        </w:rPr>
        <w:t>enthalten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09" w:right="5675"/>
        <w:rPr>
          <w:b w:val="0"/>
        </w:rPr>
      </w:pPr>
      <w:r>
        <w:rPr>
          <w:b w:val="0"/>
          <w:color w:val="231F20"/>
        </w:rPr>
        <w:t>Der Artikelcode für Ihre Bestellung ergibt sich aus: Artikelcode + Ø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(Bsp: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PPFLEX30100).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Abweichungen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entnehmen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bitte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dem jeweiligen 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4"/>
        <w:rPr>
          <w:b w:val="0"/>
          <w:sz w:val="29"/>
        </w:rPr>
      </w:pPr>
    </w:p>
    <w:p>
      <w:pPr>
        <w:spacing w:after="0"/>
        <w:rPr>
          <w:sz w:val="29"/>
        </w:rPr>
        <w:sectPr>
          <w:pgSz w:w="11910" w:h="16840"/>
          <w:pgMar w:top="520" w:bottom="0" w:left="480" w:right="460"/>
        </w:sectPr>
      </w:pPr>
    </w:p>
    <w:p>
      <w:pPr>
        <w:pStyle w:val="Heading2"/>
        <w:spacing w:line="240" w:lineRule="auto" w:before="52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6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  <w:tab w:pos="253" w:val="left" w:leader="none"/>
        </w:tabs>
        <w:spacing w:line="240" w:lineRule="auto" w:before="0" w:after="0"/>
        <w:ind w:left="253" w:right="38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Angepasste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Kesselanschlüsse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ermöglichen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den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Anschluss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an</w:t>
      </w:r>
      <w:r>
        <w:rPr>
          <w:b w:val="0"/>
          <w:color w:val="231F20"/>
          <w:spacing w:val="-7"/>
          <w:sz w:val="16"/>
        </w:rPr>
        <w:t> </w:t>
      </w:r>
      <w:r>
        <w:rPr>
          <w:b w:val="0"/>
          <w:color w:val="231F20"/>
          <w:sz w:val="16"/>
        </w:rPr>
        <w:t>alle gängigen Kesseltypen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  <w:tab w:pos="253" w:val="left" w:leader="none"/>
        </w:tabs>
        <w:spacing w:line="240" w:lineRule="auto" w:before="0" w:after="0"/>
        <w:ind w:left="253" w:right="501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Ringspalt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zwischen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Innenrohr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Schacht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kann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für</w:t>
      </w:r>
      <w:r>
        <w:rPr>
          <w:b w:val="0"/>
          <w:color w:val="231F20"/>
          <w:spacing w:val="-6"/>
          <w:sz w:val="16"/>
        </w:rPr>
        <w:t> </w:t>
      </w:r>
      <w:r>
        <w:rPr>
          <w:b w:val="0"/>
          <w:color w:val="231F20"/>
          <w:sz w:val="16"/>
        </w:rPr>
        <w:t>Zuluft- führung genutzt werden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Einsetzbar bis 5000 Pa (bis Ø 110 </w:t>
      </w:r>
      <w:r>
        <w:rPr>
          <w:b w:val="0"/>
          <w:color w:val="231F20"/>
          <w:spacing w:val="-5"/>
          <w:sz w:val="16"/>
        </w:rPr>
        <w:t>mm)</w:t>
      </w:r>
    </w:p>
    <w:p>
      <w:pPr>
        <w:pStyle w:val="Heading2"/>
        <w:spacing w:line="240" w:lineRule="auto" w:before="57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5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1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2"/>
          <w:sz w:val="16"/>
        </w:rPr>
        <w:t>Brennwertgeräte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1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pacing w:val="-4"/>
          <w:sz w:val="16"/>
        </w:rPr>
        <w:t>BHKW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0"/>
          <w:numId w:val="2"/>
        </w:numPr>
        <w:tabs>
          <w:tab w:pos="233" w:val="left" w:leader="none"/>
        </w:tabs>
        <w:spacing w:line="240" w:lineRule="auto" w:before="1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Gasbetriebene </w:t>
      </w:r>
      <w:r>
        <w:rPr>
          <w:b w:val="0"/>
          <w:color w:val="231F20"/>
          <w:spacing w:val="-2"/>
          <w:sz w:val="16"/>
        </w:rPr>
        <w:t>Wärmepumpen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480" w:bottom="0" w:left="480" w:right="460"/>
          <w:cols w:num="2" w:equalWidth="0">
            <w:col w:w="5370" w:space="177"/>
            <w:col w:w="5423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54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005" y="313674"/>
                            <a:ext cx="363664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374040" y="6006512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374040" y="8001924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35975" y="1014196"/>
                            <a:ext cx="2669940" cy="387139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52639" y="5274004"/>
                            <a:ext cx="545222" cy="5452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0238" y="5274005"/>
                            <a:ext cx="545244" cy="5452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6443" y="5274004"/>
                            <a:ext cx="545222" cy="5452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3345" y="5274005"/>
                            <a:ext cx="545222" cy="5452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9541" y="5274005"/>
                            <a:ext cx="545222" cy="5452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040" y="5274005"/>
                            <a:ext cx="545246" cy="5452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7150" y="5274005"/>
                            <a:ext cx="545222" cy="5452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67303" y="5274005"/>
                            <a:ext cx="542071" cy="5452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1040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66;top:493;width:573;height:759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line style="position:absolute" from="589,9459" to="11323,9459" stroked="true" strokeweight=".5pt" strokecolor="#005aaa">
                  <v:stroke dashstyle="solid"/>
                </v:line>
                <v:line style="position:absolute" from="589,12601" to="11323,12601" stroked="true" strokeweight=".5pt" strokecolor="#005aaa">
                  <v:stroke dashstyle="solid"/>
                </v:line>
                <v:shape style="position:absolute;left:7143;top:1597;width:4205;height:6097" type="#_x0000_t75" id="docshape8" stroked="false">
                  <v:imagedata r:id="rId8" o:title=""/>
                </v:shape>
                <v:shape style="position:absolute;left:6382;top:8305;width:859;height:859" type="#_x0000_t75" id="docshape9" stroked="false">
                  <v:imagedata r:id="rId9" o:title=""/>
                </v:shape>
                <v:shape style="position:absolute;left:2520;top:8305;width:859;height:859" type="#_x0000_t75" id="docshape10" stroked="false">
                  <v:imagedata r:id="rId10" o:title=""/>
                </v:shape>
                <v:shape style="position:absolute;left:4451;top:8305;width:859;height:859" type="#_x0000_t75" id="docshape11" stroked="false">
                  <v:imagedata r:id="rId11" o:title=""/>
                </v:shape>
                <v:shape style="position:absolute;left:3485;top:8305;width:859;height:859" type="#_x0000_t75" id="docshape12" stroked="false">
                  <v:imagedata r:id="rId12" o:title=""/>
                </v:shape>
                <v:shape style="position:absolute;left:5416;top:8305;width:859;height:859" type="#_x0000_t75" id="docshape13" stroked="false">
                  <v:imagedata r:id="rId13" o:title=""/>
                </v:shape>
                <v:shape style="position:absolute;left:589;top:8305;width:859;height:859" type="#_x0000_t75" id="docshape14" stroked="false">
                  <v:imagedata r:id="rId14" o:title=""/>
                </v:shape>
                <v:shape style="position:absolute;left:1554;top:8305;width:859;height:859" type="#_x0000_t75" id="docshape15" stroked="false">
                  <v:imagedata r:id="rId15" o:title=""/>
                </v:shape>
                <v:shape style="position:absolute;left:7350;top:8305;width:854;height:859" type="#_x0000_t75" id="docshape16" stroked="false">
                  <v:imagedata r:id="rId16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"/>
        <w:rPr>
          <w:b w:val="0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ZERTIFIKATSNUMMERN</w:t>
      </w:r>
    </w:p>
    <w:p>
      <w:pPr>
        <w:spacing w:line="189" w:lineRule="exact"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0036 CPR 9174 </w:t>
      </w:r>
      <w:r>
        <w:rPr>
          <w:b w:val="0"/>
          <w:color w:val="231F20"/>
          <w:spacing w:val="-5"/>
          <w:sz w:val="16"/>
        </w:rPr>
        <w:t>043</w:t>
      </w:r>
    </w:p>
    <w:p>
      <w:pPr>
        <w:pStyle w:val="Heading2"/>
        <w:spacing w:before="67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12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4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13"/>
        </w:rPr>
        <w:t> </w:t>
      </w:r>
      <w:r>
        <w:rPr>
          <w:b w:val="0"/>
          <w:color w:val="005AAA"/>
          <w:spacing w:val="-4"/>
        </w:rPr>
        <w:t>14471</w:t>
      </w:r>
    </w:p>
    <w:p>
      <w:pPr>
        <w:spacing w:line="189" w:lineRule="exact" w:before="0"/>
        <w:ind w:left="110" w:right="0" w:firstLine="0"/>
        <w:jc w:val="left"/>
        <w:rPr>
          <w:b w:val="0"/>
          <w:sz w:val="16"/>
        </w:rPr>
      </w:pPr>
      <w:r>
        <w:rPr>
          <w:b w:val="0"/>
          <w:color w:val="005AAA"/>
          <w:sz w:val="16"/>
        </w:rPr>
        <w:t>EW-PP-FLEX</w:t>
      </w:r>
      <w:r>
        <w:rPr>
          <w:b w:val="0"/>
          <w:color w:val="005AAA"/>
          <w:spacing w:val="13"/>
          <w:sz w:val="16"/>
        </w:rPr>
        <w:t> </w:t>
      </w:r>
      <w:r>
        <w:rPr>
          <w:b w:val="0"/>
          <w:color w:val="005AAA"/>
          <w:sz w:val="16"/>
        </w:rPr>
        <w:t>DN60-</w:t>
      </w:r>
      <w:r>
        <w:rPr>
          <w:b w:val="0"/>
          <w:color w:val="005AAA"/>
          <w:spacing w:val="-5"/>
          <w:sz w:val="16"/>
        </w:rPr>
        <w:t>110</w:t>
      </w:r>
    </w:p>
    <w:p>
      <w:pPr>
        <w:spacing w:before="0"/>
        <w:ind w:left="110" w:right="8227" w:hanging="2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H1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W2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O00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LI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-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U0 </w:t>
      </w:r>
      <w:r>
        <w:rPr>
          <w:b w:val="0"/>
          <w:color w:val="005AAA"/>
          <w:sz w:val="16"/>
        </w:rPr>
        <w:t>EW-PP-FLEX &gt; DN110-160</w:t>
      </w:r>
    </w:p>
    <w:p>
      <w:pPr>
        <w:spacing w:before="0"/>
        <w:ind w:left="109" w:right="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T120 - P1 - W2 - O00 - LI - E - </w:t>
      </w:r>
      <w:r>
        <w:rPr>
          <w:b w:val="0"/>
          <w:color w:val="231F20"/>
          <w:spacing w:val="-7"/>
          <w:sz w:val="16"/>
        </w:rPr>
        <w:t>U0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spacing w:before="71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Book">
    <w:altName w:val="Gotham Book"/>
    <w:charset w:val="0"/>
    <w:family w:val="auto"/>
    <w:pitch w:val="variable"/>
  </w:font>
  <w:font w:name="Gotham Light">
    <w:altName w:val="Gotham Light"/>
    <w:charset w:val="0"/>
    <w:family w:val="auto"/>
    <w:pitch w:val="variable"/>
  </w:font>
  <w:font w:name="Symbol">
    <w:altName w:val="Symbol"/>
    <w:charset w:val="2"/>
    <w:family w:val="roman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53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70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81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92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303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814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325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836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347" w:hanging="125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33" w:hanging="124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2023-09-01T07:24:03Z</dcterms:created>
  <dcterms:modified xsi:type="dcterms:W3CDTF">2023-09-01T07:24:03Z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